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ade51466e44d3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9030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Matija Gubec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1.028.360,63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1.087.149,70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1.106.227,19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1.072.452,33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14.697,37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6.454,98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6.454,98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797,00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13.900,37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Manjak prihoda i primitaka za pokriće u sljedećem razdoblju na referentnoj stranici rezultat je primjene novog Pravilnika o proračunskom računovodstvu (Narodne novine br. 158/2023., 154/2024.) koji se počeo primjenjivati u knjigovodstvenim evidencijama od 01. siječnja 2025. godine, te se u izvještaju prikazuje trošak jedne plaće više u odnosu na izvještajno razdoblje za 2025. U PR -RAS  iskazan je ukupan višak prihoda i primitaka, povećanje prihoda odnosi se na uplatu za projekte koje škola provodi i uplatu od Općina za radove koji još nisu realizirani.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4.458,96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12.126,09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271,9</w:t>
            </w:r>
          </w:p>
        </w:tc>
      </w:tr>
    </w:tbl>
    <w:p>
      <w:pPr>
        <w:spacing w:before="0" w:after="0"/>
      </w:pPr>
    </w:p>
    <w:p>
      <w:r>
        <w:t xml:space="preserve">Povećanje u odnosu na prošlu godinu zbog Erasmus projekta.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430,80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5.643,68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1310,0</w:t>
            </w:r>
          </w:p>
        </w:tc>
      </w:tr>
    </w:tbl>
    <w:p>
      <w:pPr>
        <w:spacing w:before="0" w:after="0"/>
      </w:pPr>
    </w:p>
    <w:p>
      <w:r>
        <w:t xml:space="preserve">Povećanje u odnosu na prošlu godinu zbog izrade elaborata Procjene rizika kućne vodoopskrbne mreže.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iznosi 0,00 eura jer su sve obveze plaćene po dospijeću.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175.116,92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kraju obračunskog razdoblja (plaća za 6 mjesec 2026. koja dospjeva 9.7.2026.) i obveze za ostale materijalne rashode, financijske rashode, ostale tekuće obveze koje dospjevaju tijekom srpnja 2026.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Za Erasmus projekt 2026-1-HR01-KA121-SCH-000427749 UPLAĆENO JE 21.591,20 eura. Erasmus 2025-1-HR01-KA121-SCH-000323217 je utrošeno 11.439,34 eura.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851557b9654b75" /></Relationships>
</file>